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8C6AAC" w14:textId="3142F15B" w:rsidR="00235952" w:rsidRDefault="000B480F" w:rsidP="000B480F">
      <w:pPr>
        <w:spacing w:before="120" w:after="30"/>
      </w:pPr>
      <w:r>
        <w:rPr>
          <w:noProof/>
        </w:rPr>
        <w:drawing>
          <wp:anchor distT="0" distB="0" distL="114300" distR="114300" simplePos="0" relativeHeight="251658240" behindDoc="1" locked="0" layoutInCell="1" allowOverlap="1" wp14:anchorId="353FE81D" wp14:editId="360CA96A">
            <wp:simplePos x="0" y="0"/>
            <wp:positionH relativeFrom="column">
              <wp:posOffset>4721860</wp:posOffset>
            </wp:positionH>
            <wp:positionV relativeFrom="paragraph">
              <wp:posOffset>55245</wp:posOffset>
            </wp:positionV>
            <wp:extent cx="1250315" cy="1215390"/>
            <wp:effectExtent l="0" t="0" r="0" b="0"/>
            <wp:wrapTight wrapText="bothSides">
              <wp:wrapPolygon edited="0">
                <wp:start x="9434" y="451"/>
                <wp:lineTo x="5266" y="3837"/>
                <wp:lineTo x="3730" y="6771"/>
                <wp:lineTo x="3730" y="8577"/>
                <wp:lineTo x="6582" y="11737"/>
                <wp:lineTo x="5046" y="15348"/>
                <wp:lineTo x="658" y="17831"/>
                <wp:lineTo x="878" y="18959"/>
                <wp:lineTo x="7021" y="19411"/>
                <wp:lineTo x="7021" y="20539"/>
                <wp:lineTo x="14042" y="20539"/>
                <wp:lineTo x="14261" y="19411"/>
                <wp:lineTo x="19746" y="18959"/>
                <wp:lineTo x="20185" y="18056"/>
                <wp:lineTo x="15797" y="15348"/>
                <wp:lineTo x="14480" y="11737"/>
                <wp:lineTo x="17333" y="8577"/>
                <wp:lineTo x="17552" y="7674"/>
                <wp:lineTo x="16674" y="5643"/>
                <wp:lineTo x="15797" y="4288"/>
                <wp:lineTo x="11628" y="451"/>
                <wp:lineTo x="9434" y="451"/>
              </wp:wrapPolygon>
            </wp:wrapTight>
            <wp:docPr id="881409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09558" name="Picture 8814095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0315" cy="1215390"/>
                    </a:xfrm>
                    <a:prstGeom prst="rect">
                      <a:avLst/>
                    </a:prstGeom>
                  </pic:spPr>
                </pic:pic>
              </a:graphicData>
            </a:graphic>
            <wp14:sizeRelH relativeFrom="page">
              <wp14:pctWidth>0</wp14:pctWidth>
            </wp14:sizeRelH>
            <wp14:sizeRelV relativeFrom="page">
              <wp14:pctHeight>0</wp14:pctHeight>
            </wp14:sizeRelV>
          </wp:anchor>
        </w:drawing>
      </w:r>
      <w:r w:rsidR="00000000">
        <w:rPr>
          <w:rFonts w:ascii="Poppins" w:eastAsia="Poppins" w:hAnsi="Poppins" w:cs="Poppins"/>
          <w:b/>
          <w:bCs/>
          <w:color w:val="054433"/>
          <w:sz w:val="50"/>
          <w:szCs w:val="50"/>
        </w:rPr>
        <w:t>Power BI in an Academic Setting</w:t>
      </w:r>
    </w:p>
    <w:p w14:paraId="6DE53281" w14:textId="77777777" w:rsidR="00235952" w:rsidRDefault="00000000">
      <w:pPr>
        <w:spacing w:after="30"/>
      </w:pPr>
      <w:r>
        <w:rPr>
          <w:rFonts w:ascii="Inter" w:eastAsia="Inter" w:hAnsi="Inter" w:cs="Inter"/>
          <w:i/>
          <w:iCs/>
          <w:color w:val="54595F"/>
          <w:sz w:val="25"/>
          <w:szCs w:val="25"/>
        </w:rPr>
        <w:t>Meeting notes — a talk and live demonstration by Luke Power</w:t>
      </w:r>
    </w:p>
    <w:p w14:paraId="0CCF7FE5" w14:textId="77777777" w:rsidR="00235952" w:rsidRDefault="00235952">
      <w:pPr>
        <w:pBdr>
          <w:bottom w:val="single" w:sz="20" w:space="6" w:color="054433"/>
        </w:pBdr>
        <w:spacing w:after="180"/>
      </w:pPr>
    </w:p>
    <w:tbl>
      <w:tblPr>
        <w:tblW w:w="9360" w:type="dxa"/>
        <w:tblBorders>
          <w:insideH w:val="single" w:sz="4" w:space="0" w:color="CFE3DA"/>
        </w:tblBorders>
        <w:tblCellMar>
          <w:left w:w="10" w:type="dxa"/>
          <w:right w:w="10" w:type="dxa"/>
        </w:tblCellMar>
        <w:tblLook w:val="0000" w:firstRow="0" w:lastRow="0" w:firstColumn="0" w:lastColumn="0" w:noHBand="0" w:noVBand="0"/>
      </w:tblPr>
      <w:tblGrid>
        <w:gridCol w:w="2200"/>
        <w:gridCol w:w="7160"/>
      </w:tblGrid>
      <w:tr w:rsidR="00235952" w14:paraId="395744F2" w14:textId="77777777">
        <w:tblPrEx>
          <w:tblCellMar>
            <w:top w:w="0" w:type="dxa"/>
            <w:bottom w:w="0" w:type="dxa"/>
          </w:tblCellMar>
        </w:tblPrEx>
        <w:tc>
          <w:tcPr>
            <w:tcW w:w="2200" w:type="dxa"/>
            <w:shd w:val="clear" w:color="auto" w:fill="E6EFE9"/>
            <w:tcMar>
              <w:top w:w="70" w:type="dxa"/>
              <w:left w:w="130" w:type="dxa"/>
              <w:bottom w:w="70" w:type="dxa"/>
              <w:right w:w="130" w:type="dxa"/>
            </w:tcMar>
          </w:tcPr>
          <w:p w14:paraId="0F6A1F94" w14:textId="77777777" w:rsidR="00235952" w:rsidRDefault="00000000">
            <w:r>
              <w:rPr>
                <w:rFonts w:ascii="Poppins" w:eastAsia="Poppins" w:hAnsi="Poppins" w:cs="Poppins"/>
                <w:b/>
                <w:bCs/>
                <w:color w:val="054433"/>
              </w:rPr>
              <w:t>Speaker</w:t>
            </w:r>
          </w:p>
        </w:tc>
        <w:tc>
          <w:tcPr>
            <w:tcW w:w="7160" w:type="dxa"/>
            <w:tcMar>
              <w:top w:w="70" w:type="dxa"/>
              <w:left w:w="130" w:type="dxa"/>
              <w:bottom w:w="70" w:type="dxa"/>
              <w:right w:w="130" w:type="dxa"/>
            </w:tcMar>
          </w:tcPr>
          <w:p w14:paraId="754A2AC2" w14:textId="77777777" w:rsidR="00235952" w:rsidRDefault="00000000">
            <w:r>
              <w:rPr>
                <w:rFonts w:ascii="Inter" w:eastAsia="Inter" w:hAnsi="Inter" w:cs="Inter"/>
                <w:color w:val="2B2B2B"/>
                <w:sz w:val="22"/>
                <w:szCs w:val="22"/>
              </w:rPr>
              <w:t>Luke Power — Projects Manager, Research Office, SETU</w:t>
            </w:r>
          </w:p>
        </w:tc>
      </w:tr>
      <w:tr w:rsidR="00235952" w14:paraId="5C20724F" w14:textId="77777777">
        <w:tblPrEx>
          <w:tblCellMar>
            <w:top w:w="0" w:type="dxa"/>
            <w:bottom w:w="0" w:type="dxa"/>
          </w:tblCellMar>
        </w:tblPrEx>
        <w:tc>
          <w:tcPr>
            <w:tcW w:w="2200" w:type="dxa"/>
            <w:shd w:val="clear" w:color="auto" w:fill="E6EFE9"/>
            <w:tcMar>
              <w:top w:w="70" w:type="dxa"/>
              <w:left w:w="130" w:type="dxa"/>
              <w:bottom w:w="70" w:type="dxa"/>
              <w:right w:w="130" w:type="dxa"/>
            </w:tcMar>
          </w:tcPr>
          <w:p w14:paraId="63FCC41D" w14:textId="77777777" w:rsidR="00235952" w:rsidRDefault="00000000">
            <w:r>
              <w:rPr>
                <w:rFonts w:ascii="Poppins" w:eastAsia="Poppins" w:hAnsi="Poppins" w:cs="Poppins"/>
                <w:b/>
                <w:bCs/>
                <w:color w:val="054433"/>
              </w:rPr>
              <w:t>Date</w:t>
            </w:r>
          </w:p>
        </w:tc>
        <w:tc>
          <w:tcPr>
            <w:tcW w:w="7160" w:type="dxa"/>
            <w:tcMar>
              <w:top w:w="70" w:type="dxa"/>
              <w:left w:w="130" w:type="dxa"/>
              <w:bottom w:w="70" w:type="dxa"/>
              <w:right w:w="130" w:type="dxa"/>
            </w:tcMar>
          </w:tcPr>
          <w:p w14:paraId="72FC8252" w14:textId="77777777" w:rsidR="00235952" w:rsidRDefault="00000000">
            <w:r>
              <w:rPr>
                <w:rFonts w:ascii="Inter" w:eastAsia="Inter" w:hAnsi="Inter" w:cs="Inter"/>
                <w:color w:val="2B2B2B"/>
                <w:sz w:val="22"/>
                <w:szCs w:val="22"/>
              </w:rPr>
              <w:t>16 July 2026</w:t>
            </w:r>
          </w:p>
        </w:tc>
      </w:tr>
      <w:tr w:rsidR="00235952" w14:paraId="2034B99A" w14:textId="77777777">
        <w:tblPrEx>
          <w:tblCellMar>
            <w:top w:w="0" w:type="dxa"/>
            <w:bottom w:w="0" w:type="dxa"/>
          </w:tblCellMar>
        </w:tblPrEx>
        <w:tc>
          <w:tcPr>
            <w:tcW w:w="2200" w:type="dxa"/>
            <w:shd w:val="clear" w:color="auto" w:fill="E6EFE9"/>
            <w:tcMar>
              <w:top w:w="70" w:type="dxa"/>
              <w:left w:w="130" w:type="dxa"/>
              <w:bottom w:w="70" w:type="dxa"/>
              <w:right w:w="130" w:type="dxa"/>
            </w:tcMar>
          </w:tcPr>
          <w:p w14:paraId="63CE178A" w14:textId="77777777" w:rsidR="00235952" w:rsidRDefault="00000000">
            <w:r>
              <w:rPr>
                <w:rFonts w:ascii="Poppins" w:eastAsia="Poppins" w:hAnsi="Poppins" w:cs="Poppins"/>
                <w:b/>
                <w:bCs/>
                <w:color w:val="054433"/>
              </w:rPr>
              <w:t>Hosted by</w:t>
            </w:r>
          </w:p>
        </w:tc>
        <w:tc>
          <w:tcPr>
            <w:tcW w:w="7160" w:type="dxa"/>
            <w:tcMar>
              <w:top w:w="70" w:type="dxa"/>
              <w:left w:w="130" w:type="dxa"/>
              <w:bottom w:w="70" w:type="dxa"/>
              <w:right w:w="130" w:type="dxa"/>
            </w:tcMar>
          </w:tcPr>
          <w:p w14:paraId="7469F6FA" w14:textId="5F946E9C" w:rsidR="00235952" w:rsidRDefault="00000000">
            <w:r>
              <w:rPr>
                <w:rFonts w:ascii="Inter" w:eastAsia="Inter" w:hAnsi="Inter" w:cs="Inter"/>
                <w:color w:val="2B2B2B"/>
                <w:sz w:val="22"/>
                <w:szCs w:val="22"/>
              </w:rPr>
              <w:t>David Kane</w:t>
            </w:r>
            <w:r w:rsidR="00CB64C0">
              <w:rPr>
                <w:rFonts w:ascii="Inter" w:eastAsia="Inter" w:hAnsi="Inter" w:cs="Inter"/>
                <w:color w:val="2B2B2B"/>
                <w:sz w:val="22"/>
                <w:szCs w:val="22"/>
              </w:rPr>
              <w:t xml:space="preserve"> at SETU</w:t>
            </w:r>
            <w:r>
              <w:rPr>
                <w:rFonts w:ascii="Inter" w:eastAsia="Inter" w:hAnsi="Inter" w:cs="Inter"/>
                <w:color w:val="2B2B2B"/>
                <w:sz w:val="22"/>
                <w:szCs w:val="22"/>
              </w:rPr>
              <w:t xml:space="preserve">, </w:t>
            </w:r>
            <w:r w:rsidR="00CB64C0">
              <w:rPr>
                <w:rFonts w:ascii="Inter" w:eastAsia="Inter" w:hAnsi="Inter" w:cs="Inter"/>
                <w:color w:val="2B2B2B"/>
                <w:sz w:val="22"/>
                <w:szCs w:val="22"/>
              </w:rPr>
              <w:t>for</w:t>
            </w:r>
            <w:r>
              <w:rPr>
                <w:rFonts w:ascii="Inter" w:eastAsia="Inter" w:hAnsi="Inter" w:cs="Inter"/>
                <w:color w:val="2B2B2B"/>
                <w:sz w:val="22"/>
                <w:szCs w:val="22"/>
              </w:rPr>
              <w:t xml:space="preserve"> TU-NET (Technological University Network)</w:t>
            </w:r>
          </w:p>
        </w:tc>
      </w:tr>
      <w:tr w:rsidR="00235952" w14:paraId="50BFD465" w14:textId="77777777">
        <w:tblPrEx>
          <w:tblCellMar>
            <w:top w:w="0" w:type="dxa"/>
            <w:bottom w:w="0" w:type="dxa"/>
          </w:tblCellMar>
        </w:tblPrEx>
        <w:tc>
          <w:tcPr>
            <w:tcW w:w="2200" w:type="dxa"/>
            <w:shd w:val="clear" w:color="auto" w:fill="E6EFE9"/>
            <w:tcMar>
              <w:top w:w="70" w:type="dxa"/>
              <w:left w:w="130" w:type="dxa"/>
              <w:bottom w:w="70" w:type="dxa"/>
              <w:right w:w="130" w:type="dxa"/>
            </w:tcMar>
          </w:tcPr>
          <w:p w14:paraId="21C10843" w14:textId="77777777" w:rsidR="00235952" w:rsidRDefault="00000000">
            <w:r>
              <w:rPr>
                <w:rFonts w:ascii="Poppins" w:eastAsia="Poppins" w:hAnsi="Poppins" w:cs="Poppins"/>
                <w:b/>
                <w:bCs/>
                <w:color w:val="054433"/>
              </w:rPr>
              <w:t>Format</w:t>
            </w:r>
          </w:p>
        </w:tc>
        <w:tc>
          <w:tcPr>
            <w:tcW w:w="7160" w:type="dxa"/>
            <w:tcMar>
              <w:top w:w="70" w:type="dxa"/>
              <w:left w:w="130" w:type="dxa"/>
              <w:bottom w:w="70" w:type="dxa"/>
              <w:right w:w="130" w:type="dxa"/>
            </w:tcMar>
          </w:tcPr>
          <w:p w14:paraId="0566B87A" w14:textId="77777777" w:rsidR="00235952" w:rsidRDefault="00000000">
            <w:r>
              <w:rPr>
                <w:rFonts w:ascii="Inter" w:eastAsia="Inter" w:hAnsi="Inter" w:cs="Inter"/>
                <w:color w:val="2B2B2B"/>
                <w:sz w:val="22"/>
                <w:szCs w:val="22"/>
              </w:rPr>
              <w:t>Online talk with live demonstration, followed by Q&amp;A</w:t>
            </w:r>
          </w:p>
        </w:tc>
      </w:tr>
    </w:tbl>
    <w:p w14:paraId="6A4409BF" w14:textId="77777777" w:rsidR="00235952" w:rsidRDefault="00000000">
      <w:pPr>
        <w:pStyle w:val="Heading1"/>
        <w:pBdr>
          <w:bottom w:val="single" w:sz="8" w:space="4" w:color="2E8B62"/>
        </w:pBdr>
        <w:spacing w:before="320" w:after="140"/>
      </w:pPr>
      <w:r>
        <w:rPr>
          <w:rFonts w:ascii="Poppins" w:eastAsia="Poppins" w:hAnsi="Poppins" w:cs="Poppins"/>
          <w:b/>
          <w:bCs/>
          <w:color w:val="054433"/>
          <w:sz w:val="30"/>
          <w:szCs w:val="30"/>
        </w:rPr>
        <w:t>Overview</w:t>
      </w:r>
    </w:p>
    <w:p w14:paraId="4F36C32C" w14:textId="77777777" w:rsidR="00235952" w:rsidRDefault="00000000">
      <w:pPr>
        <w:spacing w:after="140" w:line="288" w:lineRule="auto"/>
        <w:jc w:val="both"/>
      </w:pPr>
      <w:r>
        <w:rPr>
          <w:rFonts w:ascii="Inter" w:eastAsia="Inter" w:hAnsi="Inter" w:cs="Inter"/>
          <w:color w:val="2B2B2B"/>
          <w:sz w:val="22"/>
          <w:szCs w:val="22"/>
        </w:rPr>
        <w:t>Luke Power gave a hands-on introduction to Microsoft Power BI, framed specifically for researchers and research managers rather than the corporate finance audience the tool is usually associated with. His central argument was that Power BI is already paid for through most universities' Microsoft licences, sits largely unused, and can meaningfully improve three things for academics: the consistency and reproducibility of data handling, the ability to combine messy data from different sources, and the impact and reach of published findings.</w:t>
      </w:r>
    </w:p>
    <w:p w14:paraId="02EA4036" w14:textId="77777777" w:rsidR="00235952" w:rsidRDefault="00000000">
      <w:pPr>
        <w:spacing w:after="140" w:line="288" w:lineRule="auto"/>
        <w:jc w:val="both"/>
      </w:pPr>
      <w:r>
        <w:rPr>
          <w:rFonts w:ascii="Inter" w:eastAsia="Inter" w:hAnsi="Inter" w:cs="Inter"/>
          <w:color w:val="2B2B2B"/>
          <w:sz w:val="22"/>
          <w:szCs w:val="22"/>
        </w:rPr>
        <w:t>He was candid about the tool's limits — it is not a replacement for proper statistical analysis or for a researcher's understanding of their own data. Its strength is as a bridge: pulling disparate, messy data into a consistent, repeatable pipeline and presenting it back in an interactive, shareable form.</w:t>
      </w:r>
    </w:p>
    <w:p w14:paraId="6FAE0732" w14:textId="77777777" w:rsidR="00235952" w:rsidRDefault="00000000">
      <w:pPr>
        <w:pStyle w:val="Heading1"/>
        <w:pBdr>
          <w:bottom w:val="single" w:sz="8" w:space="4" w:color="2E8B62"/>
        </w:pBdr>
        <w:spacing w:before="320" w:after="140"/>
      </w:pPr>
      <w:r>
        <w:rPr>
          <w:rFonts w:ascii="Poppins" w:eastAsia="Poppins" w:hAnsi="Poppins" w:cs="Poppins"/>
          <w:b/>
          <w:bCs/>
          <w:color w:val="054433"/>
          <w:sz w:val="30"/>
          <w:szCs w:val="30"/>
        </w:rPr>
        <w:t>The Problem Power BI Addresses</w:t>
      </w:r>
    </w:p>
    <w:p w14:paraId="0256F01F" w14:textId="77777777" w:rsidR="00235952" w:rsidRDefault="00000000">
      <w:pPr>
        <w:spacing w:after="140" w:line="288" w:lineRule="auto"/>
        <w:jc w:val="both"/>
      </w:pPr>
      <w:r>
        <w:rPr>
          <w:rFonts w:ascii="Inter" w:eastAsia="Inter" w:hAnsi="Inter" w:cs="Inter"/>
          <w:color w:val="2B2B2B"/>
          <w:sz w:val="22"/>
          <w:szCs w:val="22"/>
        </w:rPr>
        <w:t xml:space="preserve">Research data typically lives in silos — a USB stick, a cloud drive, a </w:t>
      </w:r>
      <w:proofErr w:type="spellStart"/>
      <w:r>
        <w:rPr>
          <w:rFonts w:ascii="Inter" w:eastAsia="Inter" w:hAnsi="Inter" w:cs="Inter"/>
          <w:color w:val="2B2B2B"/>
          <w:sz w:val="22"/>
          <w:szCs w:val="22"/>
        </w:rPr>
        <w:t>REDCap</w:t>
      </w:r>
      <w:proofErr w:type="spellEnd"/>
      <w:r>
        <w:rPr>
          <w:rFonts w:ascii="Inter" w:eastAsia="Inter" w:hAnsi="Inter" w:cs="Inter"/>
          <w:color w:val="2B2B2B"/>
          <w:sz w:val="22"/>
          <w:szCs w:val="22"/>
        </w:rPr>
        <w:t xml:space="preserve"> survey database, CSV exports from decades-old lab equipment, or public datasets pulled from the web. Combining these usually means hours of manual copying and pasting into one large spreadsheet. Luke highlighted two costs of that manual approach:</w:t>
      </w:r>
    </w:p>
    <w:p w14:paraId="5C468F7B"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Human error. </w:t>
      </w:r>
      <w:r>
        <w:rPr>
          <w:rFonts w:ascii="Inter" w:eastAsia="Inter" w:hAnsi="Inter" w:cs="Inter"/>
          <w:color w:val="2B2B2B"/>
          <w:sz w:val="22"/>
          <w:szCs w:val="22"/>
        </w:rPr>
        <w:t>A single misaligned row or stray keystroke can throw off an entire analysis.</w:t>
      </w:r>
    </w:p>
    <w:p w14:paraId="19FB40B3"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Static snapshots. </w:t>
      </w:r>
      <w:r>
        <w:rPr>
          <w:rFonts w:ascii="Inter" w:eastAsia="Inter" w:hAnsi="Inter" w:cs="Inter"/>
          <w:color w:val="2B2B2B"/>
          <w:sz w:val="22"/>
          <w:szCs w:val="22"/>
        </w:rPr>
        <w:t>The moment a new participant enters the study or a new lab result is finalised, the spreadsheet and every chart built from it are out of date, requiring the whole cleaning process to be repeated by hand.</w:t>
      </w:r>
    </w:p>
    <w:p w14:paraId="56EDC36E" w14:textId="77777777" w:rsidR="00235952" w:rsidRDefault="00000000">
      <w:pPr>
        <w:spacing w:after="140" w:line="288" w:lineRule="auto"/>
        <w:jc w:val="both"/>
      </w:pPr>
      <w:r>
        <w:rPr>
          <w:rFonts w:ascii="Inter" w:eastAsia="Inter" w:hAnsi="Inter" w:cs="Inter"/>
          <w:color w:val="2B2B2B"/>
          <w:sz w:val="22"/>
          <w:szCs w:val="22"/>
        </w:rPr>
        <w:t>Power BI's answer is to connect directly to the original data sources and remember the cleaning rules you apply (removing duplicates, fixing dates, excluding outliers, calculating new variables). When new data arrives, you simply refresh — or let it refresh automatically — and the same rules are reapplied. Luke framed this as a shift from manual data wrangling to automated data stewardship.</w:t>
      </w:r>
    </w:p>
    <w:p w14:paraId="7A6F39D6" w14:textId="77777777" w:rsidR="00235952" w:rsidRDefault="00000000">
      <w:pPr>
        <w:pStyle w:val="Heading1"/>
        <w:pBdr>
          <w:bottom w:val="single" w:sz="8" w:space="4" w:color="2E8B62"/>
        </w:pBdr>
        <w:spacing w:before="320" w:after="140"/>
      </w:pPr>
      <w:r>
        <w:rPr>
          <w:rFonts w:ascii="Poppins" w:eastAsia="Poppins" w:hAnsi="Poppins" w:cs="Poppins"/>
          <w:b/>
          <w:bCs/>
          <w:color w:val="054433"/>
          <w:sz w:val="30"/>
          <w:szCs w:val="30"/>
        </w:rPr>
        <w:lastRenderedPageBreak/>
        <w:t>How the Tool Works — The Three Pillars</w:t>
      </w:r>
    </w:p>
    <w:p w14:paraId="180AAFA5" w14:textId="77777777" w:rsidR="00235952" w:rsidRDefault="00000000">
      <w:pPr>
        <w:spacing w:after="140" w:line="288" w:lineRule="auto"/>
        <w:jc w:val="both"/>
      </w:pPr>
      <w:r>
        <w:rPr>
          <w:rFonts w:ascii="Inter" w:eastAsia="Inter" w:hAnsi="Inter" w:cs="Inter"/>
          <w:color w:val="2B2B2B"/>
          <w:sz w:val="22"/>
          <w:szCs w:val="22"/>
        </w:rPr>
        <w:t>Luke described Power BI as a Microsoft cloud application built on three core components:</w:t>
      </w:r>
    </w:p>
    <w:p w14:paraId="6D010BCE"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ETL engine (Extract, Transform, Load). </w:t>
      </w:r>
      <w:r>
        <w:rPr>
          <w:rFonts w:ascii="Inter" w:eastAsia="Inter" w:hAnsi="Inter" w:cs="Inter"/>
          <w:color w:val="2B2B2B"/>
          <w:sz w:val="22"/>
          <w:szCs w:val="22"/>
        </w:rPr>
        <w:t>The bridging function. It pulls in and cleans data without ever altering the original file — it works on a separate copy, protecting the integrity of the raw data. This is the piece that captures your cleaning steps as a repeatable audit trail.</w:t>
      </w:r>
    </w:p>
    <w:p w14:paraId="5C2EC6E2" w14:textId="77777777" w:rsidR="00235952" w:rsidRDefault="00000000">
      <w:pPr>
        <w:pStyle w:val="ListParagraph"/>
        <w:numPr>
          <w:ilvl w:val="0"/>
          <w:numId w:val="2"/>
        </w:numPr>
        <w:spacing w:after="80" w:line="288" w:lineRule="auto"/>
      </w:pPr>
      <w:proofErr w:type="spellStart"/>
      <w:r>
        <w:rPr>
          <w:rFonts w:ascii="Inter" w:eastAsia="Inter" w:hAnsi="Inter" w:cs="Inter"/>
          <w:b/>
          <w:bCs/>
          <w:color w:val="2B2B2B"/>
          <w:sz w:val="22"/>
          <w:szCs w:val="22"/>
        </w:rPr>
        <w:t>Modeling</w:t>
      </w:r>
      <w:proofErr w:type="spellEnd"/>
      <w:r>
        <w:rPr>
          <w:rFonts w:ascii="Inter" w:eastAsia="Inter" w:hAnsi="Inter" w:cs="Inter"/>
          <w:b/>
          <w:bCs/>
          <w:color w:val="2B2B2B"/>
          <w:sz w:val="22"/>
          <w:szCs w:val="22"/>
        </w:rPr>
        <w:t xml:space="preserve"> engine. </w:t>
      </w:r>
      <w:proofErr w:type="spellStart"/>
      <w:r>
        <w:rPr>
          <w:rFonts w:ascii="Inter" w:eastAsia="Inter" w:hAnsi="Inter" w:cs="Inter"/>
          <w:color w:val="2B2B2B"/>
          <w:sz w:val="22"/>
          <w:szCs w:val="22"/>
        </w:rPr>
        <w:t>Lets</w:t>
      </w:r>
      <w:proofErr w:type="spellEnd"/>
      <w:r>
        <w:rPr>
          <w:rFonts w:ascii="Inter" w:eastAsia="Inter" w:hAnsi="Inter" w:cs="Inter"/>
          <w:color w:val="2B2B2B"/>
          <w:sz w:val="22"/>
          <w:szCs w:val="22"/>
        </w:rPr>
        <w:t xml:space="preserve"> you link different datasets together logically — for example, connecting a patient's lab results to demographic survey data via a shared subject ID, or modelling clinical data against a public health baseline. These data models are shareable, so a whole team can handle data the same way.</w:t>
      </w:r>
    </w:p>
    <w:p w14:paraId="0990BF6B"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Visualization layer. </w:t>
      </w:r>
      <w:r>
        <w:rPr>
          <w:rFonts w:ascii="Inter" w:eastAsia="Inter" w:hAnsi="Inter" w:cs="Inter"/>
          <w:color w:val="2B2B2B"/>
          <w:sz w:val="22"/>
          <w:szCs w:val="22"/>
        </w:rPr>
        <w:t>The interactive, user-facing dashboards. These can be hosted online, embedded in reports for funders, or linked from a journal article so readers can explore the data themselves.</w:t>
      </w:r>
    </w:p>
    <w:p w14:paraId="110C3441" w14:textId="77777777" w:rsidR="00235952" w:rsidRDefault="00000000">
      <w:pPr>
        <w:pStyle w:val="Heading1"/>
        <w:pBdr>
          <w:bottom w:val="single" w:sz="8" w:space="4" w:color="2E8B62"/>
        </w:pBdr>
        <w:spacing w:before="320" w:after="140"/>
      </w:pPr>
      <w:r>
        <w:rPr>
          <w:rFonts w:ascii="Poppins" w:eastAsia="Poppins" w:hAnsi="Poppins" w:cs="Poppins"/>
          <w:b/>
          <w:bCs/>
          <w:color w:val="054433"/>
          <w:sz w:val="30"/>
          <w:szCs w:val="30"/>
        </w:rPr>
        <w:t>Key Themes</w:t>
      </w:r>
    </w:p>
    <w:p w14:paraId="1C3D66ED" w14:textId="77777777" w:rsidR="00235952" w:rsidRDefault="00000000">
      <w:pPr>
        <w:pStyle w:val="Heading2"/>
        <w:spacing w:before="220" w:after="90"/>
      </w:pPr>
      <w:r>
        <w:rPr>
          <w:rFonts w:ascii="Poppins" w:eastAsia="Poppins" w:hAnsi="Poppins" w:cs="Poppins"/>
          <w:b/>
          <w:bCs/>
          <w:color w:val="1E7A5A"/>
          <w:sz w:val="23"/>
          <w:szCs w:val="23"/>
        </w:rPr>
        <w:t>Reproducibility and the “black box” problem</w:t>
      </w:r>
    </w:p>
    <w:p w14:paraId="7AA2463F" w14:textId="77777777" w:rsidR="00235952" w:rsidRDefault="00000000">
      <w:pPr>
        <w:spacing w:after="140" w:line="288" w:lineRule="auto"/>
        <w:jc w:val="both"/>
      </w:pPr>
      <w:r>
        <w:rPr>
          <w:rFonts w:ascii="Inter" w:eastAsia="Inter" w:hAnsi="Inter" w:cs="Inter"/>
          <w:color w:val="2B2B2B"/>
          <w:sz w:val="22"/>
          <w:szCs w:val="22"/>
        </w:rPr>
        <w:t>When a dataset is cleaned manually in Excel, the method is invisible — six months later, no one recalls exactly what was changed or why. Because Power BI records every transformation step, it provides an audit trail suitable for peer review. When a reviewer asks how missing data was handled, you can show them the model. When a new batch of data arrives, you hit refresh rather than repeating the work.</w:t>
      </w:r>
    </w:p>
    <w:p w14:paraId="3E6DC8E9" w14:textId="77777777" w:rsidR="00235952" w:rsidRDefault="00000000">
      <w:pPr>
        <w:pStyle w:val="Heading2"/>
        <w:spacing w:before="220" w:after="90"/>
      </w:pPr>
      <w:r>
        <w:rPr>
          <w:rFonts w:ascii="Poppins" w:eastAsia="Poppins" w:hAnsi="Poppins" w:cs="Poppins"/>
          <w:b/>
          <w:bCs/>
          <w:color w:val="1E7A5A"/>
          <w:sz w:val="23"/>
          <w:szCs w:val="23"/>
        </w:rPr>
        <w:t>A translation layer for incompatible sources</w:t>
      </w:r>
    </w:p>
    <w:p w14:paraId="14C16D63" w14:textId="77777777" w:rsidR="00235952" w:rsidRDefault="00000000">
      <w:pPr>
        <w:spacing w:after="140" w:line="288" w:lineRule="auto"/>
        <w:jc w:val="both"/>
      </w:pPr>
      <w:r>
        <w:rPr>
          <w:rFonts w:ascii="Inter" w:eastAsia="Inter" w:hAnsi="Inter" w:cs="Inter"/>
          <w:color w:val="2B2B2B"/>
          <w:sz w:val="22"/>
          <w:szCs w:val="22"/>
        </w:rPr>
        <w:t>Drawing on his PhD work with NHS trusts, Luke described how different clinics record the same data in incompatible formats — even patient identifiers differ. Asking those live environments to standardise is unrealistic. Power BI instead acts as a translation layer, letting variable datasets work together logically without forcing anyone to change their source systems.</w:t>
      </w:r>
    </w:p>
    <w:p w14:paraId="5B8E212A" w14:textId="77777777" w:rsidR="00235952" w:rsidRDefault="00000000">
      <w:pPr>
        <w:pStyle w:val="Heading2"/>
        <w:spacing w:before="220" w:after="90"/>
      </w:pPr>
      <w:r>
        <w:rPr>
          <w:rFonts w:ascii="Poppins" w:eastAsia="Poppins" w:hAnsi="Poppins" w:cs="Poppins"/>
          <w:b/>
          <w:bCs/>
          <w:color w:val="1E7A5A"/>
          <w:sz w:val="23"/>
          <w:szCs w:val="23"/>
        </w:rPr>
        <w:t>Impact and dissemination</w:t>
      </w:r>
    </w:p>
    <w:p w14:paraId="769B3CEB" w14:textId="77777777" w:rsidR="00235952" w:rsidRDefault="00000000">
      <w:pPr>
        <w:spacing w:after="140" w:line="288" w:lineRule="auto"/>
        <w:jc w:val="both"/>
      </w:pPr>
      <w:r>
        <w:rPr>
          <w:rFonts w:ascii="Inter" w:eastAsia="Inter" w:hAnsi="Inter" w:cs="Inter"/>
          <w:color w:val="2B2B2B"/>
          <w:sz w:val="22"/>
          <w:szCs w:val="22"/>
        </w:rPr>
        <w:t>Funders increasingly require robust dissemination plans, and a static PDF table in a journal appendix is limited. Power BI's Publish to Web feature generates embeddable code (or an access-controlled link) that can go on a website, into an email, onto LinkedIn, or into a journal article. Because a published dashboard displays a model of the data rather than the underlying rows, it can be shared safely — viewers see only the views you choose to expose. Luke argued this data democratisation leads to higher engagement, greater trust, and likely more citations.</w:t>
      </w:r>
    </w:p>
    <w:p w14:paraId="3C7CFC75" w14:textId="77777777" w:rsidR="00235952" w:rsidRDefault="00000000">
      <w:pPr>
        <w:pStyle w:val="Heading2"/>
        <w:spacing w:before="220" w:after="90"/>
      </w:pPr>
      <w:r>
        <w:rPr>
          <w:rFonts w:ascii="Poppins" w:eastAsia="Poppins" w:hAnsi="Poppins" w:cs="Poppins"/>
          <w:b/>
          <w:bCs/>
          <w:color w:val="1E7A5A"/>
          <w:sz w:val="23"/>
          <w:szCs w:val="23"/>
        </w:rPr>
        <w:t>The AI angle (Copilot)</w:t>
      </w:r>
    </w:p>
    <w:p w14:paraId="21EDDC5D" w14:textId="77777777" w:rsidR="00235952" w:rsidRDefault="00000000">
      <w:pPr>
        <w:spacing w:after="140" w:line="288" w:lineRule="auto"/>
        <w:jc w:val="both"/>
      </w:pPr>
      <w:r>
        <w:rPr>
          <w:rFonts w:ascii="Inter" w:eastAsia="Inter" w:hAnsi="Inter" w:cs="Inter"/>
          <w:color w:val="2B2B2B"/>
          <w:sz w:val="22"/>
          <w:szCs w:val="22"/>
        </w:rPr>
        <w:t xml:space="preserve">Power BI now includes Microsoft's Copilot, which lets you query your model in plain English (e.g. “which factor most affects patient dropouts?”) and get help building dashboards. Importantly, it </w:t>
      </w:r>
      <w:r>
        <w:rPr>
          <w:rFonts w:ascii="Inter" w:eastAsia="Inter" w:hAnsi="Inter" w:cs="Inter"/>
          <w:color w:val="2B2B2B"/>
          <w:sz w:val="22"/>
          <w:szCs w:val="22"/>
        </w:rPr>
        <w:lastRenderedPageBreak/>
        <w:t>operates locally on your model — it isn't scraping the internet or feeding your data into a training set, which matters for sensitive data. Luke noted it is still new and that he has not found it essential in his own work.</w:t>
      </w:r>
    </w:p>
    <w:p w14:paraId="3D2B96AE" w14:textId="77777777" w:rsidR="00235952" w:rsidRDefault="00000000">
      <w:pPr>
        <w:pStyle w:val="Heading2"/>
        <w:spacing w:before="220" w:after="90"/>
      </w:pPr>
      <w:r>
        <w:rPr>
          <w:rFonts w:ascii="Poppins" w:eastAsia="Poppins" w:hAnsi="Poppins" w:cs="Poppins"/>
          <w:b/>
          <w:bCs/>
          <w:color w:val="1E7A5A"/>
          <w:sz w:val="23"/>
          <w:szCs w:val="23"/>
        </w:rPr>
        <w:t>Data privacy and governance</w:t>
      </w:r>
    </w:p>
    <w:p w14:paraId="4C406235" w14:textId="77777777" w:rsidR="00235952" w:rsidRDefault="00000000">
      <w:pPr>
        <w:spacing w:after="140" w:line="288" w:lineRule="auto"/>
        <w:jc w:val="both"/>
      </w:pPr>
      <w:r>
        <w:rPr>
          <w:rFonts w:ascii="Inter" w:eastAsia="Inter" w:hAnsi="Inter" w:cs="Inter"/>
          <w:color w:val="2B2B2B"/>
          <w:sz w:val="22"/>
          <w:szCs w:val="22"/>
        </w:rPr>
        <w:t>Power BI is widely used in healthcare and finance precisely because it can be operated in a GDPR- and HIPAA-compliant way. The standout feature is Row-Level Security (RLS): instead of maintaining ten separate Excel files so Hospital A can't see Hospital B's patients, a single dashboard can dynamically show each user only the records their login permits, while a lead investigator sees everything.</w:t>
      </w:r>
    </w:p>
    <w:p w14:paraId="5D0472A7" w14:textId="77777777" w:rsidR="00235952" w:rsidRDefault="00000000">
      <w:pPr>
        <w:pStyle w:val="Heading1"/>
        <w:pBdr>
          <w:bottom w:val="single" w:sz="8" w:space="4" w:color="2E8B62"/>
        </w:pBdr>
        <w:spacing w:before="320" w:after="140"/>
      </w:pPr>
      <w:r>
        <w:rPr>
          <w:rFonts w:ascii="Poppins" w:eastAsia="Poppins" w:hAnsi="Poppins" w:cs="Poppins"/>
          <w:b/>
          <w:bCs/>
          <w:color w:val="054433"/>
          <w:sz w:val="30"/>
          <w:szCs w:val="30"/>
        </w:rPr>
        <w:t>The Live Demonstration</w:t>
      </w:r>
    </w:p>
    <w:p w14:paraId="0EAF63FC" w14:textId="77777777" w:rsidR="00235952" w:rsidRDefault="00000000">
      <w:pPr>
        <w:spacing w:after="140" w:line="288" w:lineRule="auto"/>
        <w:jc w:val="both"/>
      </w:pPr>
      <w:r>
        <w:rPr>
          <w:rFonts w:ascii="Inter" w:eastAsia="Inter" w:hAnsi="Inter" w:cs="Inter"/>
          <w:color w:val="2B2B2B"/>
          <w:sz w:val="22"/>
          <w:szCs w:val="22"/>
        </w:rPr>
        <w:t>Luke built a small interactive dashboard from scratch in a few minutes to show how quickly it can be done:</w:t>
      </w:r>
    </w:p>
    <w:p w14:paraId="799B82ED" w14:textId="77777777" w:rsidR="00235952" w:rsidRDefault="00000000">
      <w:pPr>
        <w:pStyle w:val="ListParagraph"/>
        <w:numPr>
          <w:ilvl w:val="0"/>
          <w:numId w:val="2"/>
        </w:numPr>
        <w:spacing w:after="80" w:line="288" w:lineRule="auto"/>
      </w:pPr>
      <w:r>
        <w:rPr>
          <w:rFonts w:ascii="Inter" w:eastAsia="Inter" w:hAnsi="Inter" w:cs="Inter"/>
          <w:color w:val="2B2B2B"/>
          <w:sz w:val="22"/>
          <w:szCs w:val="22"/>
        </w:rPr>
        <w:t xml:space="preserve">He pulled a </w:t>
      </w:r>
      <w:r>
        <w:rPr>
          <w:rFonts w:ascii="Inter" w:eastAsia="Inter" w:hAnsi="Inter" w:cs="Inter"/>
          <w:b/>
          <w:bCs/>
          <w:color w:val="2B2B2B"/>
          <w:sz w:val="22"/>
          <w:szCs w:val="22"/>
        </w:rPr>
        <w:t>public COVID-19 dataset</w:t>
      </w:r>
      <w:r>
        <w:rPr>
          <w:rFonts w:ascii="Inter" w:eastAsia="Inter" w:hAnsi="Inter" w:cs="Inter"/>
          <w:color w:val="2B2B2B"/>
          <w:sz w:val="22"/>
          <w:szCs w:val="22"/>
        </w:rPr>
        <w:t xml:space="preserve"> (new cases, deaths, hospital beds) directly from a web link, so it updates whenever he refreshes.</w:t>
      </w:r>
    </w:p>
    <w:p w14:paraId="5DFAA9C5" w14:textId="77777777" w:rsidR="00235952" w:rsidRDefault="00000000">
      <w:pPr>
        <w:pStyle w:val="ListParagraph"/>
        <w:numPr>
          <w:ilvl w:val="0"/>
          <w:numId w:val="2"/>
        </w:numPr>
        <w:spacing w:after="80" w:line="288" w:lineRule="auto"/>
      </w:pPr>
      <w:r>
        <w:rPr>
          <w:rFonts w:ascii="Inter" w:eastAsia="Inter" w:hAnsi="Inter" w:cs="Inter"/>
          <w:color w:val="2B2B2B"/>
          <w:sz w:val="22"/>
          <w:szCs w:val="22"/>
        </w:rPr>
        <w:t xml:space="preserve">In the </w:t>
      </w:r>
      <w:r>
        <w:rPr>
          <w:rFonts w:ascii="Inter" w:eastAsia="Inter" w:hAnsi="Inter" w:cs="Inter"/>
          <w:b/>
          <w:bCs/>
          <w:color w:val="2B2B2B"/>
          <w:sz w:val="22"/>
          <w:szCs w:val="22"/>
        </w:rPr>
        <w:t>transform</w:t>
      </w:r>
      <w:r>
        <w:rPr>
          <w:rFonts w:ascii="Inter" w:eastAsia="Inter" w:hAnsi="Inter" w:cs="Inter"/>
          <w:color w:val="2B2B2B"/>
          <w:sz w:val="22"/>
          <w:szCs w:val="22"/>
        </w:rPr>
        <w:t xml:space="preserve"> step he showed how to rename columns, exclude non-country entries like “European Union,” and remove null values — changes that are reapplied automatically every time the data updates.</w:t>
      </w:r>
    </w:p>
    <w:p w14:paraId="744FC527" w14:textId="77777777" w:rsidR="00235952" w:rsidRDefault="00000000">
      <w:pPr>
        <w:pStyle w:val="ListParagraph"/>
        <w:numPr>
          <w:ilvl w:val="0"/>
          <w:numId w:val="2"/>
        </w:numPr>
        <w:spacing w:after="80" w:line="288" w:lineRule="auto"/>
      </w:pPr>
      <w:r>
        <w:rPr>
          <w:rFonts w:ascii="Inter" w:eastAsia="Inter" w:hAnsi="Inter" w:cs="Inter"/>
          <w:color w:val="2B2B2B"/>
          <w:sz w:val="22"/>
          <w:szCs w:val="22"/>
        </w:rPr>
        <w:t xml:space="preserve">He </w:t>
      </w:r>
      <w:r>
        <w:rPr>
          <w:rFonts w:ascii="Inter" w:eastAsia="Inter" w:hAnsi="Inter" w:cs="Inter"/>
          <w:b/>
          <w:bCs/>
          <w:color w:val="2B2B2B"/>
          <w:sz w:val="22"/>
          <w:szCs w:val="22"/>
        </w:rPr>
        <w:t>modelled and visualised</w:t>
      </w:r>
      <w:r>
        <w:rPr>
          <w:rFonts w:ascii="Inter" w:eastAsia="Inter" w:hAnsi="Inter" w:cs="Inter"/>
          <w:color w:val="2B2B2B"/>
          <w:sz w:val="22"/>
          <w:szCs w:val="22"/>
        </w:rPr>
        <w:t xml:space="preserve"> the data by dragging fields onto charts and tables, added a page-level filter for continent, and introduced slicers (for date and continent) so a viewer can interactively filter the whole dashboard.</w:t>
      </w:r>
    </w:p>
    <w:p w14:paraId="334B5A29" w14:textId="77777777" w:rsidR="00235952" w:rsidRDefault="00000000">
      <w:pPr>
        <w:pStyle w:val="ListParagraph"/>
        <w:numPr>
          <w:ilvl w:val="0"/>
          <w:numId w:val="2"/>
        </w:numPr>
        <w:spacing w:after="80" w:line="288" w:lineRule="auto"/>
      </w:pPr>
      <w:r>
        <w:rPr>
          <w:rFonts w:ascii="Inter" w:eastAsia="Inter" w:hAnsi="Inter" w:cs="Inter"/>
          <w:color w:val="2B2B2B"/>
          <w:sz w:val="22"/>
          <w:szCs w:val="22"/>
        </w:rPr>
        <w:t xml:space="preserve">He contrasted this with the polished, real-world </w:t>
      </w:r>
      <w:r>
        <w:rPr>
          <w:rFonts w:ascii="Inter" w:eastAsia="Inter" w:hAnsi="Inter" w:cs="Inter"/>
          <w:b/>
          <w:bCs/>
          <w:color w:val="2B2B2B"/>
          <w:sz w:val="22"/>
          <w:szCs w:val="22"/>
        </w:rPr>
        <w:t>Department of Agriculture, Food and the Marine (DAFM) dashboard</w:t>
      </w:r>
      <w:r>
        <w:rPr>
          <w:rFonts w:ascii="Inter" w:eastAsia="Inter" w:hAnsi="Inter" w:cs="Inter"/>
          <w:color w:val="2B2B2B"/>
          <w:sz w:val="22"/>
          <w:szCs w:val="22"/>
        </w:rPr>
        <w:t>, which lets users explore research funding by programme, gender, institution, call year and theme — every chart updating instantly as filters change.</w:t>
      </w:r>
    </w:p>
    <w:p w14:paraId="6CCEAD6F" w14:textId="77777777" w:rsidR="00235952" w:rsidRDefault="00000000">
      <w:pPr>
        <w:spacing w:after="140" w:line="288" w:lineRule="auto"/>
        <w:jc w:val="both"/>
      </w:pPr>
      <w:r>
        <w:rPr>
          <w:rFonts w:ascii="Inter" w:eastAsia="Inter" w:hAnsi="Inter" w:cs="Inter"/>
          <w:color w:val="2B2B2B"/>
          <w:sz w:val="22"/>
          <w:szCs w:val="22"/>
        </w:rPr>
        <w:t>He was upfront that his quick build “won't look pretty,” but the point was that going from a complex raw dataset to a working interactive view — and then clicking Publish — is genuinely fast and cheap.</w:t>
      </w:r>
    </w:p>
    <w:p w14:paraId="4FE073A9" w14:textId="77777777" w:rsidR="00235952" w:rsidRDefault="00000000">
      <w:pPr>
        <w:pStyle w:val="Heading1"/>
        <w:pBdr>
          <w:bottom w:val="single" w:sz="8" w:space="4" w:color="2E8B62"/>
        </w:pBdr>
        <w:spacing w:before="320" w:after="140"/>
      </w:pPr>
      <w:r>
        <w:rPr>
          <w:rFonts w:ascii="Poppins" w:eastAsia="Poppins" w:hAnsi="Poppins" w:cs="Poppins"/>
          <w:b/>
          <w:bCs/>
          <w:color w:val="054433"/>
          <w:sz w:val="30"/>
          <w:szCs w:val="30"/>
        </w:rPr>
        <w:t>Where It Falls Short</w:t>
      </w:r>
    </w:p>
    <w:p w14:paraId="70C1E971" w14:textId="77777777" w:rsidR="00235952" w:rsidRDefault="00000000">
      <w:pPr>
        <w:spacing w:after="140" w:line="288" w:lineRule="auto"/>
        <w:jc w:val="both"/>
      </w:pPr>
      <w:r>
        <w:rPr>
          <w:rFonts w:ascii="Inter" w:eastAsia="Inter" w:hAnsi="Inter" w:cs="Inter"/>
          <w:color w:val="2B2B2B"/>
          <w:sz w:val="22"/>
          <w:szCs w:val="22"/>
        </w:rPr>
        <w:t>Luke was careful to set expectations:</w:t>
      </w:r>
    </w:p>
    <w:p w14:paraId="5A258617" w14:textId="77777777" w:rsidR="00235952" w:rsidRDefault="00000000">
      <w:pPr>
        <w:pStyle w:val="ListParagraph"/>
        <w:numPr>
          <w:ilvl w:val="0"/>
          <w:numId w:val="2"/>
        </w:numPr>
        <w:spacing w:after="80" w:line="288" w:lineRule="auto"/>
      </w:pPr>
      <w:r>
        <w:rPr>
          <w:rFonts w:ascii="Inter" w:eastAsia="Inter" w:hAnsi="Inter" w:cs="Inter"/>
          <w:color w:val="2B2B2B"/>
          <w:sz w:val="22"/>
          <w:szCs w:val="22"/>
        </w:rPr>
        <w:t>It does not replace your understanding of data or statistics, and it is not a serious analytical platform — it connects to advanced tools (R, Python) rather than replacing them.</w:t>
      </w:r>
    </w:p>
    <w:p w14:paraId="6C960BE0" w14:textId="77777777" w:rsidR="00235952" w:rsidRDefault="00000000">
      <w:pPr>
        <w:pStyle w:val="ListParagraph"/>
        <w:numPr>
          <w:ilvl w:val="0"/>
          <w:numId w:val="2"/>
        </w:numPr>
        <w:spacing w:after="80" w:line="288" w:lineRule="auto"/>
      </w:pPr>
      <w:r>
        <w:rPr>
          <w:rFonts w:ascii="Inter" w:eastAsia="Inter" w:hAnsi="Inter" w:cs="Inter"/>
          <w:color w:val="2B2B2B"/>
          <w:sz w:val="22"/>
          <w:szCs w:val="22"/>
        </w:rPr>
        <w:t>For purely making attractive charts, dedicated tools like Canva or Tableau look better, though they lack Power BI's interactivity and pipeline.</w:t>
      </w:r>
    </w:p>
    <w:p w14:paraId="53528350" w14:textId="77777777" w:rsidR="00235952" w:rsidRDefault="00000000">
      <w:pPr>
        <w:pStyle w:val="ListParagraph"/>
        <w:numPr>
          <w:ilvl w:val="0"/>
          <w:numId w:val="2"/>
        </w:numPr>
        <w:spacing w:after="80" w:line="288" w:lineRule="auto"/>
      </w:pPr>
      <w:r>
        <w:rPr>
          <w:rFonts w:ascii="Inter" w:eastAsia="Inter" w:hAnsi="Inter" w:cs="Inter"/>
          <w:color w:val="2B2B2B"/>
          <w:sz w:val="22"/>
          <w:szCs w:val="22"/>
        </w:rPr>
        <w:t>The underlying Power Query language is genuinely powerful and not something you learn in a week — but the drag-and-drop basics require zero programming knowledge.</w:t>
      </w:r>
    </w:p>
    <w:p w14:paraId="1F84867B" w14:textId="77777777" w:rsidR="00235952" w:rsidRDefault="00000000">
      <w:pPr>
        <w:pStyle w:val="ListParagraph"/>
        <w:numPr>
          <w:ilvl w:val="0"/>
          <w:numId w:val="2"/>
        </w:numPr>
        <w:spacing w:after="80" w:line="288" w:lineRule="auto"/>
      </w:pPr>
      <w:r>
        <w:rPr>
          <w:rFonts w:ascii="Inter" w:eastAsia="Inter" w:hAnsi="Inter" w:cs="Inter"/>
          <w:color w:val="2B2B2B"/>
          <w:sz w:val="22"/>
          <w:szCs w:val="22"/>
        </w:rPr>
        <w:t>Someone on the team still needs to own the pipeline: maintaining the refresh schedule, the row-level security rules, and keeping an eye on where dashboards are hosted and who is using them.</w:t>
      </w:r>
    </w:p>
    <w:p w14:paraId="3A27DE2C" w14:textId="77777777" w:rsidR="00235952" w:rsidRDefault="00000000">
      <w:pPr>
        <w:pStyle w:val="Heading1"/>
        <w:pBdr>
          <w:bottom w:val="single" w:sz="8" w:space="4" w:color="2E8B62"/>
        </w:pBdr>
        <w:spacing w:before="320" w:after="140"/>
      </w:pPr>
      <w:r>
        <w:rPr>
          <w:rFonts w:ascii="Poppins" w:eastAsia="Poppins" w:hAnsi="Poppins" w:cs="Poppins"/>
          <w:b/>
          <w:bCs/>
          <w:color w:val="054433"/>
          <w:sz w:val="30"/>
          <w:szCs w:val="30"/>
        </w:rPr>
        <w:lastRenderedPageBreak/>
        <w:t>Q&amp;A Highlights</w:t>
      </w:r>
    </w:p>
    <w:p w14:paraId="26830E62"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Where do the interactive widgets fit? </w:t>
      </w:r>
      <w:r>
        <w:rPr>
          <w:rFonts w:ascii="Inter" w:eastAsia="Inter" w:hAnsi="Inter" w:cs="Inter"/>
          <w:color w:val="2B2B2B"/>
          <w:sz w:val="22"/>
          <w:szCs w:val="22"/>
        </w:rPr>
        <w:t>Embedded in journal articles, on institutional or personal websites, or on platforms like LinkedIn — offering both a high-level “50,000-foot view” for managers and granular interactive exploration for researchers.</w:t>
      </w:r>
    </w:p>
    <w:p w14:paraId="0CCB9B9F"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Is it self-taught? Best starting point? </w:t>
      </w:r>
      <w:r>
        <w:rPr>
          <w:rFonts w:ascii="Inter" w:eastAsia="Inter" w:hAnsi="Inter" w:cs="Inter"/>
          <w:color w:val="2B2B2B"/>
          <w:sz w:val="22"/>
          <w:szCs w:val="22"/>
        </w:rPr>
        <w:t>Luke is fluent partly because he already understood the underlying Microsoft/Visual Basic logic (the same logic as Excel). His advice: find an example dashboard close to what you want, then learn by replicating it and playing with your own data.</w:t>
      </w:r>
    </w:p>
    <w:p w14:paraId="7A1DEA51"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Do you need programming? </w:t>
      </w:r>
      <w:r>
        <w:rPr>
          <w:rFonts w:ascii="Inter" w:eastAsia="Inter" w:hAnsi="Inter" w:cs="Inter"/>
          <w:color w:val="2B2B2B"/>
          <w:sz w:val="22"/>
          <w:szCs w:val="22"/>
        </w:rPr>
        <w:t>No — you can get started with none at all. Programming knowledge only helps with the more advanced features.</w:t>
      </w:r>
    </w:p>
    <w:p w14:paraId="68B3112C"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Parallels with other tools. </w:t>
      </w:r>
      <w:r>
        <w:rPr>
          <w:rFonts w:ascii="Inter" w:eastAsia="Inter" w:hAnsi="Inter" w:cs="Inter"/>
          <w:color w:val="2B2B2B"/>
          <w:sz w:val="22"/>
          <w:szCs w:val="22"/>
        </w:rPr>
        <w:t xml:space="preserve">David noted the similarity to </w:t>
      </w:r>
      <w:proofErr w:type="spellStart"/>
      <w:r>
        <w:rPr>
          <w:rFonts w:ascii="Inter" w:eastAsia="Inter" w:hAnsi="Inter" w:cs="Inter"/>
          <w:color w:val="2B2B2B"/>
          <w:sz w:val="22"/>
          <w:szCs w:val="22"/>
        </w:rPr>
        <w:t>OpenRefine</w:t>
      </w:r>
      <w:proofErr w:type="spellEnd"/>
      <w:r>
        <w:rPr>
          <w:rFonts w:ascii="Inter" w:eastAsia="Inter" w:hAnsi="Inter" w:cs="Inter"/>
          <w:color w:val="2B2B2B"/>
          <w:sz w:val="22"/>
          <w:szCs w:val="22"/>
        </w:rPr>
        <w:t>, where transformations are saved separately from the raw data and can be reapplied to new incoming datasets — a shared principle of good data stewardship: never work directly on the raw data.</w:t>
      </w:r>
    </w:p>
    <w:p w14:paraId="38A6A69E"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A recurring point: </w:t>
      </w:r>
      <w:r>
        <w:rPr>
          <w:rFonts w:ascii="Inter" w:eastAsia="Inter" w:hAnsi="Inter" w:cs="Inter"/>
          <w:color w:val="2B2B2B"/>
          <w:sz w:val="22"/>
          <w:szCs w:val="22"/>
        </w:rPr>
        <w:t>most institutions already pay for Power BI, and it sits there unused. Bringing in a separate tool to do something similar can be an unnecessary expense.</w:t>
      </w:r>
    </w:p>
    <w:p w14:paraId="6C52C8DF" w14:textId="77777777" w:rsidR="00235952" w:rsidRDefault="00000000">
      <w:pPr>
        <w:spacing w:after="140" w:line="288" w:lineRule="auto"/>
        <w:jc w:val="both"/>
      </w:pPr>
      <w:r>
        <w:rPr>
          <w:rFonts w:ascii="Inter" w:eastAsia="Inter" w:hAnsi="Inter" w:cs="Inter"/>
          <w:color w:val="2B2B2B"/>
          <w:sz w:val="22"/>
          <w:szCs w:val="22"/>
        </w:rPr>
        <w:t>David suggested a possible follow-up in-person workshop where participants bring their own data problems, as a way of pooling expertise across research groups.</w:t>
      </w:r>
    </w:p>
    <w:p w14:paraId="3EF10C2C" w14:textId="77777777" w:rsidR="00235952" w:rsidRDefault="00000000">
      <w:pPr>
        <w:pStyle w:val="Heading1"/>
        <w:pBdr>
          <w:bottom w:val="single" w:sz="8" w:space="4" w:color="2E8B62"/>
        </w:pBdr>
        <w:spacing w:before="320" w:after="140"/>
      </w:pPr>
      <w:r>
        <w:rPr>
          <w:rFonts w:ascii="Poppins" w:eastAsia="Poppins" w:hAnsi="Poppins" w:cs="Poppins"/>
          <w:b/>
          <w:bCs/>
          <w:color w:val="054433"/>
          <w:sz w:val="30"/>
          <w:szCs w:val="30"/>
        </w:rPr>
        <w:t>Leads for Further Research and Experimentation</w:t>
      </w:r>
    </w:p>
    <w:p w14:paraId="406CC2E2" w14:textId="77777777" w:rsidR="00235952" w:rsidRDefault="00000000">
      <w:pPr>
        <w:spacing w:after="140" w:line="288" w:lineRule="auto"/>
        <w:jc w:val="both"/>
      </w:pPr>
      <w:r>
        <w:rPr>
          <w:rFonts w:ascii="Inter" w:eastAsia="Inter" w:hAnsi="Inter" w:cs="Inter"/>
          <w:color w:val="2B2B2B"/>
          <w:sz w:val="22"/>
          <w:szCs w:val="22"/>
        </w:rPr>
        <w:t>Practical next steps for anyone wanting to explore what was demonstrated:</w:t>
      </w:r>
    </w:p>
    <w:p w14:paraId="277D3C35"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Try the exact demo. </w:t>
      </w:r>
      <w:r>
        <w:rPr>
          <w:rFonts w:ascii="Inter" w:eastAsia="Inter" w:hAnsi="Inter" w:cs="Inter"/>
          <w:color w:val="2B2B2B"/>
          <w:sz w:val="22"/>
          <w:szCs w:val="22"/>
        </w:rPr>
        <w:t>Access Power BI via office.com with your institutional Microsoft login, then connect to a public dataset by web link and rebuild the COVID example.</w:t>
      </w:r>
    </w:p>
    <w:p w14:paraId="0A7B8A82"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Replicate a polished dashboard. </w:t>
      </w:r>
      <w:r>
        <w:rPr>
          <w:rFonts w:ascii="Inter" w:eastAsia="Inter" w:hAnsi="Inter" w:cs="Inter"/>
          <w:color w:val="2B2B2B"/>
          <w:sz w:val="22"/>
          <w:szCs w:val="22"/>
        </w:rPr>
        <w:t>Study the DAFM funding dashboard (link below) and try to recreate a simple version — Luke's recommended way to learn.</w:t>
      </w:r>
    </w:p>
    <w:p w14:paraId="407D5B1E"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Start from a real task. </w:t>
      </w:r>
      <w:r>
        <w:rPr>
          <w:rFonts w:ascii="Inter" w:eastAsia="Inter" w:hAnsi="Inter" w:cs="Inter"/>
          <w:color w:val="2B2B2B"/>
          <w:sz w:val="22"/>
          <w:szCs w:val="22"/>
        </w:rPr>
        <w:t>Both Luke and David stressed that these tools are learned fastest when tied to an actual dataset or deliverable you need to produce.</w:t>
      </w:r>
    </w:p>
    <w:p w14:paraId="241D6917"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Experiment with combining sources. </w:t>
      </w:r>
      <w:r>
        <w:rPr>
          <w:rFonts w:ascii="Inter" w:eastAsia="Inter" w:hAnsi="Inter" w:cs="Inter"/>
          <w:color w:val="2B2B2B"/>
          <w:sz w:val="22"/>
          <w:szCs w:val="22"/>
        </w:rPr>
        <w:t>Try modelling one public dataset against another (e.g. case rates against population density) to see how the modelling engine links variable data.</w:t>
      </w:r>
    </w:p>
    <w:p w14:paraId="17554D02"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Investigate Row-Level Security </w:t>
      </w:r>
      <w:r>
        <w:rPr>
          <w:rFonts w:ascii="Inter" w:eastAsia="Inter" w:hAnsi="Inter" w:cs="Inter"/>
          <w:color w:val="2B2B2B"/>
          <w:sz w:val="22"/>
          <w:szCs w:val="22"/>
        </w:rPr>
        <w:t>if you work with multi-site or sensitive human data — it's the feature that makes Power BI viable for governed, compliant sharing.</w:t>
      </w:r>
    </w:p>
    <w:p w14:paraId="3E77FB4D"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Explore the impact workflow. </w:t>
      </w:r>
      <w:r>
        <w:rPr>
          <w:rFonts w:ascii="Inter" w:eastAsia="Inter" w:hAnsi="Inter" w:cs="Inter"/>
          <w:color w:val="2B2B2B"/>
          <w:sz w:val="22"/>
          <w:szCs w:val="22"/>
        </w:rPr>
        <w:t>Build something small and use Publish to Web to see how an interactive view could accompany a paper, grant report, or institutional news article.</w:t>
      </w:r>
    </w:p>
    <w:p w14:paraId="1BF08DF2"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Consider Copilot cautiously </w:t>
      </w:r>
      <w:r>
        <w:rPr>
          <w:rFonts w:ascii="Inter" w:eastAsia="Inter" w:hAnsi="Inter" w:cs="Inter"/>
          <w:color w:val="2B2B2B"/>
          <w:sz w:val="22"/>
          <w:szCs w:val="22"/>
        </w:rPr>
        <w:t>— worth being aware of as a plain-English query layer over your own model, while noting it is new and not yet essential.</w:t>
      </w:r>
    </w:p>
    <w:p w14:paraId="1AA13156" w14:textId="77777777" w:rsidR="000B480F" w:rsidRDefault="000B480F">
      <w:pPr>
        <w:rPr>
          <w:rFonts w:ascii="Poppins" w:eastAsia="Poppins" w:hAnsi="Poppins" w:cs="Poppins"/>
          <w:b/>
          <w:bCs/>
          <w:color w:val="054433"/>
          <w:sz w:val="30"/>
          <w:szCs w:val="30"/>
        </w:rPr>
      </w:pPr>
      <w:r>
        <w:rPr>
          <w:rFonts w:ascii="Poppins" w:eastAsia="Poppins" w:hAnsi="Poppins" w:cs="Poppins"/>
          <w:b/>
          <w:bCs/>
          <w:color w:val="054433"/>
          <w:sz w:val="30"/>
          <w:szCs w:val="30"/>
        </w:rPr>
        <w:br w:type="page"/>
      </w:r>
    </w:p>
    <w:p w14:paraId="76822FA3" w14:textId="71BA7ED9" w:rsidR="00235952" w:rsidRDefault="00000000">
      <w:pPr>
        <w:pStyle w:val="Heading1"/>
        <w:pBdr>
          <w:bottom w:val="single" w:sz="8" w:space="4" w:color="2E8B62"/>
        </w:pBdr>
        <w:spacing w:before="320" w:after="140"/>
      </w:pPr>
      <w:r>
        <w:rPr>
          <w:rFonts w:ascii="Poppins" w:eastAsia="Poppins" w:hAnsi="Poppins" w:cs="Poppins"/>
          <w:b/>
          <w:bCs/>
          <w:color w:val="054433"/>
          <w:sz w:val="30"/>
          <w:szCs w:val="30"/>
        </w:rPr>
        <w:lastRenderedPageBreak/>
        <w:t>Useful Resources</w:t>
      </w:r>
    </w:p>
    <w:p w14:paraId="7B6A7F4A"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Microsoft Learn — Power BI training hub. </w:t>
      </w:r>
      <w:r>
        <w:rPr>
          <w:rFonts w:ascii="Inter" w:eastAsia="Inter" w:hAnsi="Inter" w:cs="Inter"/>
          <w:color w:val="2B2B2B"/>
          <w:sz w:val="22"/>
          <w:szCs w:val="22"/>
        </w:rPr>
        <w:t xml:space="preserve">The official, free, self-paced guided learning paths: </w:t>
      </w:r>
      <w:hyperlink r:id="rId8" w:history="1">
        <w:r>
          <w:rPr>
            <w:rStyle w:val="Hyperlink"/>
            <w:rFonts w:ascii="Inter" w:eastAsia="Inter" w:hAnsi="Inter" w:cs="Inter"/>
            <w:sz w:val="22"/>
            <w:szCs w:val="22"/>
          </w:rPr>
          <w:t>learn.microsoft.com/training/</w:t>
        </w:r>
        <w:proofErr w:type="spellStart"/>
        <w:r>
          <w:rPr>
            <w:rStyle w:val="Hyperlink"/>
            <w:rFonts w:ascii="Inter" w:eastAsia="Inter" w:hAnsi="Inter" w:cs="Inter"/>
            <w:sz w:val="22"/>
            <w:szCs w:val="22"/>
          </w:rPr>
          <w:t>powerplatform</w:t>
        </w:r>
        <w:proofErr w:type="spellEnd"/>
        <w:r>
          <w:rPr>
            <w:rStyle w:val="Hyperlink"/>
            <w:rFonts w:ascii="Inter" w:eastAsia="Inter" w:hAnsi="Inter" w:cs="Inter"/>
            <w:sz w:val="22"/>
            <w:szCs w:val="22"/>
          </w:rPr>
          <w:t>/power-bi</w:t>
        </w:r>
      </w:hyperlink>
      <w:r>
        <w:rPr>
          <w:rFonts w:ascii="Inter" w:eastAsia="Inter" w:hAnsi="Inter" w:cs="Inter"/>
          <w:color w:val="2B2B2B"/>
          <w:sz w:val="22"/>
          <w:szCs w:val="22"/>
        </w:rPr>
        <w:t xml:space="preserve">. A good first path is </w:t>
      </w:r>
      <w:hyperlink r:id="rId9" w:history="1">
        <w:r>
          <w:rPr>
            <w:rStyle w:val="Hyperlink"/>
            <w:rFonts w:ascii="Inter" w:eastAsia="Inter" w:hAnsi="Inter" w:cs="Inter"/>
            <w:sz w:val="22"/>
            <w:szCs w:val="22"/>
          </w:rPr>
          <w:t>Get started with Microsoft data analytics</w:t>
        </w:r>
      </w:hyperlink>
      <w:r>
        <w:rPr>
          <w:rFonts w:ascii="Inter" w:eastAsia="Inter" w:hAnsi="Inter" w:cs="Inter"/>
          <w:color w:val="2B2B2B"/>
          <w:sz w:val="22"/>
          <w:szCs w:val="22"/>
        </w:rPr>
        <w:t>.</w:t>
      </w:r>
    </w:p>
    <w:p w14:paraId="3FA23C7C"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DAFM research funding dashboard </w:t>
      </w:r>
      <w:r>
        <w:rPr>
          <w:rFonts w:ascii="Inter" w:eastAsia="Inter" w:hAnsi="Inter" w:cs="Inter"/>
          <w:color w:val="2B2B2B"/>
          <w:sz w:val="22"/>
          <w:szCs w:val="22"/>
        </w:rPr>
        <w:t xml:space="preserve">— the polished real-world example Luke demonstrated (shared in the chat): </w:t>
      </w:r>
      <w:hyperlink r:id="rId10" w:history="1">
        <w:r>
          <w:rPr>
            <w:rStyle w:val="Hyperlink"/>
            <w:rFonts w:ascii="Inter" w:eastAsia="Inter" w:hAnsi="Inter" w:cs="Inter"/>
            <w:sz w:val="22"/>
            <w:szCs w:val="22"/>
          </w:rPr>
          <w:t>view the dashboard</w:t>
        </w:r>
      </w:hyperlink>
      <w:r>
        <w:rPr>
          <w:rFonts w:ascii="Inter" w:eastAsia="Inter" w:hAnsi="Inter" w:cs="Inter"/>
          <w:color w:val="2B2B2B"/>
          <w:sz w:val="22"/>
          <w:szCs w:val="22"/>
        </w:rPr>
        <w:t>.</w:t>
      </w:r>
    </w:p>
    <w:p w14:paraId="4DF72B9A"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Our World in Data </w:t>
      </w:r>
      <w:r>
        <w:rPr>
          <w:rFonts w:ascii="Inter" w:eastAsia="Inter" w:hAnsi="Inter" w:cs="Inter"/>
          <w:color w:val="2B2B2B"/>
          <w:sz w:val="22"/>
          <w:szCs w:val="22"/>
        </w:rPr>
        <w:t xml:space="preserve">— the open data catalogue behind the COVID dataset used in the demo, a rich source of public datasets to practise with: </w:t>
      </w:r>
      <w:hyperlink r:id="rId11" w:history="1">
        <w:r>
          <w:rPr>
            <w:rStyle w:val="Hyperlink"/>
            <w:rFonts w:ascii="Inter" w:eastAsia="Inter" w:hAnsi="Inter" w:cs="Inter"/>
            <w:sz w:val="22"/>
            <w:szCs w:val="22"/>
          </w:rPr>
          <w:t>ourworldindata.org</w:t>
        </w:r>
      </w:hyperlink>
      <w:r>
        <w:rPr>
          <w:rFonts w:ascii="Inter" w:eastAsia="Inter" w:hAnsi="Inter" w:cs="Inter"/>
          <w:color w:val="2B2B2B"/>
          <w:sz w:val="22"/>
          <w:szCs w:val="22"/>
        </w:rPr>
        <w:t>.</w:t>
      </w:r>
    </w:p>
    <w:p w14:paraId="1E508286" w14:textId="77777777" w:rsidR="00235952" w:rsidRDefault="00000000">
      <w:pPr>
        <w:pStyle w:val="ListParagraph"/>
        <w:numPr>
          <w:ilvl w:val="0"/>
          <w:numId w:val="2"/>
        </w:numPr>
        <w:spacing w:after="80" w:line="288" w:lineRule="auto"/>
      </w:pPr>
      <w:r>
        <w:rPr>
          <w:rFonts w:ascii="Inter" w:eastAsia="Inter" w:hAnsi="Inter" w:cs="Inter"/>
          <w:b/>
          <w:bCs/>
          <w:color w:val="2B2B2B"/>
          <w:sz w:val="22"/>
          <w:szCs w:val="22"/>
        </w:rPr>
        <w:t xml:space="preserve">Luke's slide deck </w:t>
      </w:r>
      <w:r>
        <w:rPr>
          <w:rFonts w:ascii="Inter" w:eastAsia="Inter" w:hAnsi="Inter" w:cs="Inter"/>
          <w:color w:val="2B2B2B"/>
          <w:sz w:val="22"/>
          <w:szCs w:val="22"/>
        </w:rPr>
        <w:t>— contains his own curated guides on how Power BI fits into academia, plus the Microsoft tutorials. Luke confirmed the deck would be circulated to participants.</w:t>
      </w:r>
    </w:p>
    <w:p w14:paraId="11ABFE6A" w14:textId="77777777" w:rsidR="00235952" w:rsidRDefault="00000000">
      <w:pPr>
        <w:pBdr>
          <w:left w:val="single" w:sz="20" w:space="8" w:color="054433"/>
        </w:pBdr>
        <w:shd w:val="clear" w:color="auto" w:fill="EAF5F1"/>
        <w:spacing w:before="120" w:after="120"/>
        <w:ind w:left="180"/>
      </w:pPr>
      <w:r>
        <w:rPr>
          <w:rFonts w:ascii="Inter" w:eastAsia="Inter" w:hAnsi="Inter" w:cs="Inter"/>
          <w:b/>
          <w:bCs/>
          <w:color w:val="054433"/>
          <w:sz w:val="22"/>
          <w:szCs w:val="22"/>
        </w:rPr>
        <w:t xml:space="preserve">Access note: </w:t>
      </w:r>
      <w:r>
        <w:rPr>
          <w:rFonts w:ascii="Inter" w:eastAsia="Inter" w:hAnsi="Inter" w:cs="Inter"/>
          <w:color w:val="2B2B2B"/>
          <w:sz w:val="22"/>
          <w:szCs w:val="22"/>
        </w:rPr>
        <w:t xml:space="preserve">Power BI is included in most university Microsoft Office licences even where it isn't advertised. Check via </w:t>
      </w:r>
      <w:hyperlink r:id="rId12" w:history="1">
        <w:r>
          <w:rPr>
            <w:rStyle w:val="Hyperlink"/>
            <w:rFonts w:ascii="Inter" w:eastAsia="Inter" w:hAnsi="Inter" w:cs="Inter"/>
            <w:sz w:val="22"/>
            <w:szCs w:val="22"/>
          </w:rPr>
          <w:t>office.com</w:t>
        </w:r>
      </w:hyperlink>
      <w:r>
        <w:rPr>
          <w:rFonts w:ascii="Inter" w:eastAsia="Inter" w:hAnsi="Inter" w:cs="Inter"/>
          <w:color w:val="2B2B2B"/>
          <w:sz w:val="22"/>
          <w:szCs w:val="22"/>
        </w:rPr>
        <w:t xml:space="preserve"> before assuming you need a separate licence.</w:t>
      </w:r>
    </w:p>
    <w:p w14:paraId="0E4BD0AC" w14:textId="77777777" w:rsidR="00235952" w:rsidRDefault="00000000">
      <w:pPr>
        <w:pBdr>
          <w:top w:val="single" w:sz="10" w:space="6" w:color="2E8B62"/>
        </w:pBdr>
        <w:spacing w:before="280" w:after="40"/>
      </w:pPr>
      <w:r>
        <w:rPr>
          <w:rFonts w:ascii="Poppins" w:eastAsia="Poppins" w:hAnsi="Poppins" w:cs="Poppins"/>
          <w:b/>
          <w:bCs/>
          <w:color w:val="054433"/>
          <w:sz w:val="19"/>
          <w:szCs w:val="19"/>
        </w:rPr>
        <w:t>About these notes</w:t>
      </w:r>
    </w:p>
    <w:p w14:paraId="0D9117C0" w14:textId="06DC6C37" w:rsidR="00235952" w:rsidRDefault="00000000">
      <w:pPr>
        <w:spacing w:after="60" w:line="264" w:lineRule="auto"/>
      </w:pPr>
      <w:r>
        <w:rPr>
          <w:rFonts w:ascii="Inter" w:eastAsia="Inter" w:hAnsi="Inter" w:cs="Inter"/>
          <w:i/>
          <w:iCs/>
          <w:color w:val="54595F"/>
          <w:sz w:val="18"/>
          <w:szCs w:val="18"/>
        </w:rPr>
        <w:t xml:space="preserve">These notes were prepared by David Kane from the meeting transcript with the assistance of Claude AI. The session was hosted by </w:t>
      </w:r>
      <w:r w:rsidR="00CB64C0">
        <w:rPr>
          <w:rFonts w:ascii="Inter" w:eastAsia="Inter" w:hAnsi="Inter" w:cs="Inter"/>
          <w:i/>
          <w:iCs/>
          <w:color w:val="54595F"/>
          <w:sz w:val="18"/>
          <w:szCs w:val="18"/>
        </w:rPr>
        <w:t>SETU Libraries</w:t>
      </w:r>
      <w:r>
        <w:rPr>
          <w:rFonts w:ascii="Inter" w:eastAsia="Inter" w:hAnsi="Inter" w:cs="Inter"/>
          <w:i/>
          <w:iCs/>
          <w:color w:val="54595F"/>
          <w:sz w:val="18"/>
          <w:szCs w:val="18"/>
        </w:rPr>
        <w:t xml:space="preserve"> on behalf of TU-NET. A link to the recording and Luke's slide deck was circulated to participants by email.</w:t>
      </w:r>
    </w:p>
    <w:p w14:paraId="1248DC3F" w14:textId="77777777" w:rsidR="00235952" w:rsidRDefault="00000000">
      <w:r>
        <w:rPr>
          <w:rFonts w:ascii="Poppins" w:eastAsia="Poppins" w:hAnsi="Poppins" w:cs="Poppins"/>
          <w:b/>
          <w:bCs/>
          <w:color w:val="1E7A5A"/>
          <w:sz w:val="17"/>
          <w:szCs w:val="17"/>
        </w:rPr>
        <w:t>TU-NET — Technological University Network  ·  As open as possible, as closed as necessary.</w:t>
      </w:r>
    </w:p>
    <w:sectPr w:rsidR="00235952">
      <w:headerReference w:type="default" r:id="rId13"/>
      <w:footerReference w:type="even" r:id="rId14"/>
      <w:footerReference w:type="default" r:id="rId15"/>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569A7D" w14:textId="77777777" w:rsidR="00332ADE" w:rsidRDefault="00332ADE" w:rsidP="000B480F">
      <w:r>
        <w:separator/>
      </w:r>
    </w:p>
  </w:endnote>
  <w:endnote w:type="continuationSeparator" w:id="0">
    <w:p w14:paraId="01953CFB" w14:textId="77777777" w:rsidR="00332ADE" w:rsidRDefault="00332ADE" w:rsidP="000B4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Inter">
    <w:altName w:val="Cambri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6166794"/>
      <w:docPartObj>
        <w:docPartGallery w:val="Page Numbers (Bottom of Page)"/>
        <w:docPartUnique/>
      </w:docPartObj>
    </w:sdtPr>
    <w:sdtContent>
      <w:p w14:paraId="57872562" w14:textId="28F223E9" w:rsidR="000B480F" w:rsidRDefault="000B480F" w:rsidP="00E3493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AC6F677" w14:textId="77777777" w:rsidR="000B480F" w:rsidRDefault="000B480F" w:rsidP="000B48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76179651"/>
      <w:docPartObj>
        <w:docPartGallery w:val="Page Numbers (Bottom of Page)"/>
        <w:docPartUnique/>
      </w:docPartObj>
    </w:sdtPr>
    <w:sdtContent>
      <w:p w14:paraId="38C46CFA" w14:textId="15B7653A" w:rsidR="000B480F" w:rsidRDefault="000B480F" w:rsidP="00E3493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1D9997" w14:textId="5B918973" w:rsidR="000B480F" w:rsidRPr="000B480F" w:rsidRDefault="000B480F" w:rsidP="000B480F">
    <w:pPr>
      <w:pStyle w:val="Footer"/>
      <w:ind w:right="36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83AA66" w14:textId="77777777" w:rsidR="00332ADE" w:rsidRDefault="00332ADE" w:rsidP="000B480F">
      <w:r>
        <w:separator/>
      </w:r>
    </w:p>
  </w:footnote>
  <w:footnote w:type="continuationSeparator" w:id="0">
    <w:p w14:paraId="55052377" w14:textId="77777777" w:rsidR="00332ADE" w:rsidRDefault="00332ADE" w:rsidP="000B4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C8EB6" w14:textId="4C73340A" w:rsidR="000B480F" w:rsidRDefault="000B480F" w:rsidP="000B480F">
    <w:pPr>
      <w:spacing w:before="120" w:after="30"/>
      <w:jc w:val="right"/>
      <w:rPr>
        <w:rFonts w:ascii="Poppins" w:eastAsia="Poppins" w:hAnsi="Poppins" w:cs="Poppins"/>
        <w:color w:val="54595F"/>
        <w:spacing w:val="40"/>
        <w:sz w:val="18"/>
        <w:szCs w:val="18"/>
      </w:rPr>
    </w:pPr>
    <w:r>
      <w:rPr>
        <w:rFonts w:ascii="Poppins" w:eastAsia="Poppins" w:hAnsi="Poppins" w:cs="Poppins"/>
        <w:b/>
        <w:bCs/>
        <w:color w:val="054433"/>
        <w:spacing w:val="40"/>
      </w:rPr>
      <w:t>TU-NET</w:t>
    </w:r>
    <w:r>
      <w:rPr>
        <w:rFonts w:ascii="Poppins" w:eastAsia="Poppins" w:hAnsi="Poppins" w:cs="Poppins"/>
        <w:color w:val="54595F"/>
        <w:spacing w:val="40"/>
        <w:sz w:val="18"/>
        <w:szCs w:val="18"/>
      </w:rPr>
      <w:t xml:space="preserve">   ·   TECHNOLOGICAL UNIVERSITY NETWORK</w:t>
    </w:r>
  </w:p>
  <w:p w14:paraId="5EE1BF7D" w14:textId="77777777" w:rsidR="000B480F" w:rsidRDefault="000B48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E419DE"/>
    <w:multiLevelType w:val="hybridMultilevel"/>
    <w:tmpl w:val="1D5A4CB6"/>
    <w:lvl w:ilvl="0" w:tplc="3DB01E2C">
      <w:start w:val="1"/>
      <w:numFmt w:val="bullet"/>
      <w:lvlText w:val="●"/>
      <w:lvlJc w:val="left"/>
      <w:pPr>
        <w:ind w:left="720" w:hanging="360"/>
      </w:pPr>
    </w:lvl>
    <w:lvl w:ilvl="1" w:tplc="D876C47E">
      <w:start w:val="1"/>
      <w:numFmt w:val="bullet"/>
      <w:lvlText w:val="○"/>
      <w:lvlJc w:val="left"/>
      <w:pPr>
        <w:ind w:left="1440" w:hanging="360"/>
      </w:pPr>
    </w:lvl>
    <w:lvl w:ilvl="2" w:tplc="CC5A3338">
      <w:start w:val="1"/>
      <w:numFmt w:val="bullet"/>
      <w:lvlText w:val="■"/>
      <w:lvlJc w:val="left"/>
      <w:pPr>
        <w:ind w:left="2160" w:hanging="360"/>
      </w:pPr>
    </w:lvl>
    <w:lvl w:ilvl="3" w:tplc="504E1C06">
      <w:start w:val="1"/>
      <w:numFmt w:val="bullet"/>
      <w:lvlText w:val="●"/>
      <w:lvlJc w:val="left"/>
      <w:pPr>
        <w:ind w:left="2880" w:hanging="360"/>
      </w:pPr>
    </w:lvl>
    <w:lvl w:ilvl="4" w:tplc="5B42796E">
      <w:start w:val="1"/>
      <w:numFmt w:val="bullet"/>
      <w:lvlText w:val="○"/>
      <w:lvlJc w:val="left"/>
      <w:pPr>
        <w:ind w:left="3600" w:hanging="360"/>
      </w:pPr>
    </w:lvl>
    <w:lvl w:ilvl="5" w:tplc="FC6A0120">
      <w:start w:val="1"/>
      <w:numFmt w:val="bullet"/>
      <w:lvlText w:val="■"/>
      <w:lvlJc w:val="left"/>
      <w:pPr>
        <w:ind w:left="4320" w:hanging="360"/>
      </w:pPr>
    </w:lvl>
    <w:lvl w:ilvl="6" w:tplc="879A81B8">
      <w:start w:val="1"/>
      <w:numFmt w:val="bullet"/>
      <w:lvlText w:val="●"/>
      <w:lvlJc w:val="left"/>
      <w:pPr>
        <w:ind w:left="5040" w:hanging="360"/>
      </w:pPr>
    </w:lvl>
    <w:lvl w:ilvl="7" w:tplc="02086D68">
      <w:start w:val="1"/>
      <w:numFmt w:val="bullet"/>
      <w:lvlText w:val="●"/>
      <w:lvlJc w:val="left"/>
      <w:pPr>
        <w:ind w:left="5760" w:hanging="360"/>
      </w:pPr>
    </w:lvl>
    <w:lvl w:ilvl="8" w:tplc="C5562076">
      <w:start w:val="1"/>
      <w:numFmt w:val="bullet"/>
      <w:lvlText w:val="●"/>
      <w:lvlJc w:val="left"/>
      <w:pPr>
        <w:ind w:left="6480" w:hanging="360"/>
      </w:pPr>
    </w:lvl>
  </w:abstractNum>
  <w:abstractNum w:abstractNumId="1" w15:restartNumberingAfterBreak="0">
    <w:nsid w:val="7D7953CD"/>
    <w:multiLevelType w:val="hybridMultilevel"/>
    <w:tmpl w:val="3356B306"/>
    <w:lvl w:ilvl="0" w:tplc="631A5B38">
      <w:start w:val="1"/>
      <w:numFmt w:val="bullet"/>
      <w:lvlText w:val="•"/>
      <w:lvlJc w:val="left"/>
      <w:pPr>
        <w:ind w:left="360" w:hanging="240"/>
      </w:pPr>
      <w:rPr>
        <w:color w:val="2E8B62"/>
      </w:rPr>
    </w:lvl>
    <w:lvl w:ilvl="1" w:tplc="FBB2A5C0">
      <w:numFmt w:val="decimal"/>
      <w:lvlText w:val=""/>
      <w:lvlJc w:val="left"/>
    </w:lvl>
    <w:lvl w:ilvl="2" w:tplc="605079CA">
      <w:numFmt w:val="decimal"/>
      <w:lvlText w:val=""/>
      <w:lvlJc w:val="left"/>
    </w:lvl>
    <w:lvl w:ilvl="3" w:tplc="AF58513C">
      <w:numFmt w:val="decimal"/>
      <w:lvlText w:val=""/>
      <w:lvlJc w:val="left"/>
    </w:lvl>
    <w:lvl w:ilvl="4" w:tplc="EF3C6FE0">
      <w:numFmt w:val="decimal"/>
      <w:lvlText w:val=""/>
      <w:lvlJc w:val="left"/>
    </w:lvl>
    <w:lvl w:ilvl="5" w:tplc="7640CFC6">
      <w:numFmt w:val="decimal"/>
      <w:lvlText w:val=""/>
      <w:lvlJc w:val="left"/>
    </w:lvl>
    <w:lvl w:ilvl="6" w:tplc="8A22BE30">
      <w:numFmt w:val="decimal"/>
      <w:lvlText w:val=""/>
      <w:lvlJc w:val="left"/>
    </w:lvl>
    <w:lvl w:ilvl="7" w:tplc="EDAC84FA">
      <w:numFmt w:val="decimal"/>
      <w:lvlText w:val=""/>
      <w:lvlJc w:val="left"/>
    </w:lvl>
    <w:lvl w:ilvl="8" w:tplc="CBB6B0F0">
      <w:numFmt w:val="decimal"/>
      <w:lvlText w:val=""/>
      <w:lvlJc w:val="left"/>
    </w:lvl>
  </w:abstractNum>
  <w:num w:numId="1" w16cid:durableId="1753501864">
    <w:abstractNumId w:val="0"/>
    <w:lvlOverride w:ilvl="0">
      <w:startOverride w:val="1"/>
    </w:lvlOverride>
  </w:num>
  <w:num w:numId="2" w16cid:durableId="11267784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952"/>
    <w:rsid w:val="000B480F"/>
    <w:rsid w:val="00235952"/>
    <w:rsid w:val="00332ADE"/>
    <w:rsid w:val="007F241B"/>
    <w:rsid w:val="00CB64C0"/>
    <w:rsid w:val="00EF4E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EC88"/>
  <w15:docId w15:val="{6DF64225-1D84-A140-99C2-1AA582C9F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1E7A5A"/>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B480F"/>
    <w:pPr>
      <w:tabs>
        <w:tab w:val="center" w:pos="4513"/>
        <w:tab w:val="right" w:pos="9026"/>
      </w:tabs>
    </w:pPr>
  </w:style>
  <w:style w:type="character" w:customStyle="1" w:styleId="HeaderChar">
    <w:name w:val="Header Char"/>
    <w:basedOn w:val="DefaultParagraphFont"/>
    <w:link w:val="Header"/>
    <w:uiPriority w:val="99"/>
    <w:rsid w:val="000B480F"/>
  </w:style>
  <w:style w:type="paragraph" w:styleId="Footer">
    <w:name w:val="footer"/>
    <w:basedOn w:val="Normal"/>
    <w:link w:val="FooterChar"/>
    <w:uiPriority w:val="99"/>
    <w:unhideWhenUsed/>
    <w:rsid w:val="000B480F"/>
    <w:pPr>
      <w:tabs>
        <w:tab w:val="center" w:pos="4513"/>
        <w:tab w:val="right" w:pos="9026"/>
      </w:tabs>
    </w:pPr>
  </w:style>
  <w:style w:type="character" w:customStyle="1" w:styleId="FooterChar">
    <w:name w:val="Footer Char"/>
    <w:basedOn w:val="DefaultParagraphFont"/>
    <w:link w:val="Footer"/>
    <w:uiPriority w:val="99"/>
    <w:rsid w:val="000B480F"/>
  </w:style>
  <w:style w:type="character" w:styleId="PageNumber">
    <w:name w:val="page number"/>
    <w:basedOn w:val="DefaultParagraphFont"/>
    <w:uiPriority w:val="99"/>
    <w:semiHidden/>
    <w:unhideWhenUsed/>
    <w:rsid w:val="000B4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earn.microsoft.com/en-us/training/powerplatform/power-b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ffice.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urworldindata.or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app.powerbi.com/view?r=eyJrIjoiYWE1Y2IyYzktMTg2NC00MmRmLTgwMmEtYzA1MGE4NTcxZGMyIiwidCI6IjA2YTk0YWNkLWRiZGMtNGU0My1hZGY4LTE0Nzg2MGM3ZmRhMyIsImMiOjl9" TargetMode="External"/><Relationship Id="rId4" Type="http://schemas.openxmlformats.org/officeDocument/2006/relationships/webSettings" Target="webSettings.xml"/><Relationship Id="rId9" Type="http://schemas.openxmlformats.org/officeDocument/2006/relationships/hyperlink" Target="https://learn.microsoft.com/en-us/training/paths/get-started-power-b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1726</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Power BI in an Academic Setting — TU-NET Meeting Notes</vt:lpstr>
    </vt:vector>
  </TitlesOfParts>
  <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BI in an Academic Setting — TU-NET Meeting Notes</dc:title>
  <dc:creator>David Kane — TU-NET</dc:creator>
  <cp:lastModifiedBy>David Kane</cp:lastModifiedBy>
  <cp:revision>2</cp:revision>
  <dcterms:created xsi:type="dcterms:W3CDTF">2026-07-20T10:45:00Z</dcterms:created>
  <dcterms:modified xsi:type="dcterms:W3CDTF">2026-07-20T10:45:00Z</dcterms:modified>
</cp:coreProperties>
</file>